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6532510F" w14:textId="5D763C34" w:rsidR="00C23A00" w:rsidRDefault="00C23A00" w:rsidP="00633FE3">
            <w:pPr>
              <w:spacing w:after="0" w:line="288" w:lineRule="auto"/>
              <w:jc w:val="center"/>
              <w:rPr>
                <w:rFonts w:ascii="Times New Roman" w:hAnsi="Times New Roman"/>
                <w:b/>
                <w:sz w:val="26"/>
                <w:szCs w:val="26"/>
              </w:rPr>
            </w:pPr>
            <w:r w:rsidRPr="00C23A00">
              <w:rPr>
                <w:rFonts w:ascii="Times New Roman" w:hAnsi="Times New Roman"/>
                <w:b/>
                <w:sz w:val="26"/>
                <w:szCs w:val="26"/>
              </w:rPr>
              <w:t xml:space="preserve">XÂY DỰNG, BAN HÀNH VÀ TRIỂN KHAI PHÁC ĐỒ ĐIỀU TRỊ </w:t>
            </w:r>
          </w:p>
          <w:p w14:paraId="12712F60" w14:textId="70401353"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371EFE5E"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C23A00">
              <w:rPr>
                <w:b/>
                <w:sz w:val="26"/>
                <w:szCs w:val="26"/>
              </w:rPr>
              <w:t>2</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5FCEEF1A" w14:textId="77777777" w:rsidR="00062EB4" w:rsidRPr="00062EB4" w:rsidRDefault="00062EB4" w:rsidP="00062EB4">
      <w:pPr>
        <w:spacing w:after="120" w:line="240" w:lineRule="auto"/>
        <w:ind w:firstLine="709"/>
        <w:jc w:val="both"/>
        <w:rPr>
          <w:rFonts w:ascii="Times New Roman" w:hAnsi="Times New Roman" w:cs="Times New Roman"/>
          <w:sz w:val="26"/>
          <w:szCs w:val="26"/>
        </w:rPr>
      </w:pPr>
      <w:r w:rsidRPr="00062EB4">
        <w:rPr>
          <w:rFonts w:ascii="Times New Roman" w:hAnsi="Times New Roman" w:cs="Times New Roman"/>
          <w:sz w:val="26"/>
          <w:szCs w:val="26"/>
        </w:rPr>
        <w:t>Thiết lập một quy trình chuẩn hóa và có hệ thống để xây dựng, cập nhật và áp dụng các Phác đồ điều trị (PĐĐT) tại bệnh viện.</w:t>
      </w:r>
    </w:p>
    <w:p w14:paraId="20B7ADB6" w14:textId="67E50394" w:rsidR="00062EB4" w:rsidRPr="00062EB4" w:rsidRDefault="00062EB4" w:rsidP="00062EB4">
      <w:pPr>
        <w:spacing w:after="120" w:line="240" w:lineRule="auto"/>
        <w:ind w:firstLine="709"/>
        <w:jc w:val="both"/>
        <w:rPr>
          <w:rFonts w:ascii="Times New Roman" w:hAnsi="Times New Roman" w:cs="Times New Roman"/>
          <w:sz w:val="26"/>
          <w:szCs w:val="26"/>
        </w:rPr>
      </w:pPr>
      <w:r w:rsidRPr="00062EB4">
        <w:rPr>
          <w:rFonts w:ascii="Times New Roman" w:hAnsi="Times New Roman" w:cs="Times New Roman"/>
          <w:sz w:val="26"/>
          <w:szCs w:val="26"/>
        </w:rPr>
        <w:t>Đảm bảo các PĐĐT của bệnh viện được xây dựng dựa trên các Hướng dẫn chẩn đoán và điều trị mới nhất của Bộ Y tế, các hiệp hội chuyên ngành uy tín trong và ngoài nước, và phù hợp với điều kiện thực tế về nhân lực, trang thiết bị của bệnh viện.</w:t>
      </w:r>
    </w:p>
    <w:p w14:paraId="418FF3DC" w14:textId="77777777" w:rsidR="00062EB4" w:rsidRPr="00062EB4" w:rsidRDefault="00062EB4" w:rsidP="00062EB4">
      <w:pPr>
        <w:spacing w:after="120" w:line="240" w:lineRule="auto"/>
        <w:ind w:firstLine="709"/>
        <w:jc w:val="both"/>
        <w:rPr>
          <w:rFonts w:ascii="Times New Roman" w:hAnsi="Times New Roman" w:cs="Times New Roman"/>
          <w:sz w:val="26"/>
          <w:szCs w:val="26"/>
        </w:rPr>
      </w:pPr>
      <w:r w:rsidRPr="00062EB4">
        <w:rPr>
          <w:rFonts w:ascii="Times New Roman" w:hAnsi="Times New Roman" w:cs="Times New Roman"/>
          <w:sz w:val="26"/>
          <w:szCs w:val="26"/>
        </w:rPr>
        <w:t>Thống nhất và chuẩn hóa thực hành chẩn đoán, điều trị cho một mặt bệnh cụ thể, giảm sự khác biệt không cần thiết trong thực hành giữa các bác sĩ, các khoa.</w:t>
      </w:r>
    </w:p>
    <w:p w14:paraId="66263298" w14:textId="77777777" w:rsidR="00062EB4" w:rsidRDefault="00062EB4" w:rsidP="00062EB4">
      <w:pPr>
        <w:spacing w:after="120" w:line="240" w:lineRule="auto"/>
        <w:ind w:firstLine="709"/>
        <w:jc w:val="both"/>
        <w:rPr>
          <w:rFonts w:ascii="Times New Roman" w:hAnsi="Times New Roman" w:cs="Times New Roman"/>
          <w:sz w:val="26"/>
          <w:szCs w:val="26"/>
        </w:rPr>
      </w:pPr>
      <w:r w:rsidRPr="00062EB4">
        <w:rPr>
          <w:rFonts w:ascii="Times New Roman" w:hAnsi="Times New Roman" w:cs="Times New Roman"/>
          <w:sz w:val="26"/>
          <w:szCs w:val="26"/>
        </w:rPr>
        <w:t>Nâng cao chất lượng, hiệu quả điều trị, tăng cường an toàn người bệnh và tối ưu hóa việc sử dụng thuốc, vật tư, xét nghiệm.</w:t>
      </w:r>
    </w:p>
    <w:p w14:paraId="2331D9BB" w14:textId="57C2C5AC" w:rsidR="00AF0F01" w:rsidRPr="006827D5" w:rsidRDefault="00AF0F01" w:rsidP="00062EB4">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49B22DCD" w14:textId="77777777" w:rsidR="00062EB4" w:rsidRPr="00062EB4" w:rsidRDefault="00062EB4" w:rsidP="00062EB4">
      <w:pPr>
        <w:pStyle w:val="ListParagraph"/>
        <w:tabs>
          <w:tab w:val="left" w:pos="851"/>
        </w:tabs>
        <w:spacing w:after="120"/>
        <w:ind w:left="0" w:firstLine="709"/>
        <w:rPr>
          <w:rFonts w:eastAsiaTheme="minorHAnsi"/>
          <w:sz w:val="26"/>
          <w:szCs w:val="26"/>
        </w:rPr>
      </w:pPr>
      <w:r w:rsidRPr="00062EB4">
        <w:rPr>
          <w:rFonts w:eastAsiaTheme="minorHAnsi"/>
          <w:sz w:val="26"/>
          <w:szCs w:val="26"/>
        </w:rPr>
        <w:t>Áp dụng cho việc xây dựng và quản lý toàn bộ hệ thống PĐĐT tại bệnh viện.</w:t>
      </w:r>
    </w:p>
    <w:p w14:paraId="5393FE7E" w14:textId="77777777" w:rsidR="00062EB4" w:rsidRPr="00062EB4" w:rsidRDefault="00062EB4" w:rsidP="00062EB4">
      <w:pPr>
        <w:pStyle w:val="ListParagraph"/>
        <w:tabs>
          <w:tab w:val="left" w:pos="851"/>
        </w:tabs>
        <w:spacing w:after="120"/>
        <w:ind w:left="0" w:firstLine="709"/>
        <w:rPr>
          <w:rFonts w:eastAsiaTheme="minorHAnsi"/>
          <w:sz w:val="26"/>
          <w:szCs w:val="26"/>
        </w:rPr>
      </w:pPr>
      <w:r w:rsidRPr="00062EB4">
        <w:rPr>
          <w:rFonts w:eastAsiaTheme="minorHAnsi"/>
          <w:sz w:val="26"/>
          <w:szCs w:val="26"/>
        </w:rPr>
        <w:t>Đơn vị chủ trì/đầu mối: Phòng Kế hoạch Tổng hợp (KHTH).</w:t>
      </w:r>
    </w:p>
    <w:p w14:paraId="6F970CA0" w14:textId="77777777" w:rsidR="00062EB4" w:rsidRPr="00062EB4" w:rsidRDefault="00062EB4" w:rsidP="00062EB4">
      <w:pPr>
        <w:pStyle w:val="ListParagraph"/>
        <w:tabs>
          <w:tab w:val="left" w:pos="851"/>
        </w:tabs>
        <w:spacing w:after="120"/>
        <w:ind w:left="0" w:firstLine="709"/>
        <w:rPr>
          <w:rFonts w:eastAsiaTheme="minorHAnsi"/>
          <w:sz w:val="26"/>
          <w:szCs w:val="26"/>
        </w:rPr>
      </w:pPr>
      <w:r w:rsidRPr="00062EB4">
        <w:rPr>
          <w:rFonts w:eastAsiaTheme="minorHAnsi"/>
          <w:sz w:val="26"/>
          <w:szCs w:val="26"/>
        </w:rPr>
        <w:t>Đơn vị thẩm định: Hội đồng Thuốc và Điều trị (đối với các phác đồ liên quan nhiều đến thuốc), Hội đồng Khoa học Kỹ thuật (HĐ KHKT).</w:t>
      </w:r>
    </w:p>
    <w:p w14:paraId="20184A2B" w14:textId="10CC42B3" w:rsidR="005D6F76" w:rsidRPr="005D6F76" w:rsidRDefault="00062EB4" w:rsidP="00062EB4">
      <w:pPr>
        <w:pStyle w:val="ListParagraph"/>
        <w:tabs>
          <w:tab w:val="left" w:pos="851"/>
        </w:tabs>
        <w:spacing w:before="0" w:after="120" w:afterAutospacing="0"/>
        <w:ind w:left="0" w:firstLine="709"/>
        <w:rPr>
          <w:b/>
          <w:sz w:val="26"/>
          <w:szCs w:val="26"/>
        </w:rPr>
      </w:pPr>
      <w:r w:rsidRPr="00062EB4">
        <w:rPr>
          <w:rFonts w:eastAsiaTheme="minorHAnsi"/>
          <w:sz w:val="26"/>
          <w:szCs w:val="26"/>
        </w:rPr>
        <w:t>Đơn vị phối hợp: Phòng Quản lý chất lượng (QLCL), Khoa Dược (bộ phận Dược lâm sàng).</w:t>
      </w:r>
      <w:r w:rsidR="005D6F76" w:rsidRPr="005D6F76">
        <w:rPr>
          <w:rFonts w:eastAsiaTheme="minorHAnsi"/>
          <w:sz w:val="26"/>
          <w:szCs w:val="26"/>
        </w:rPr>
        <w:t>.</w:t>
      </w:r>
    </w:p>
    <w:p w14:paraId="4092AFD2" w14:textId="719E374C" w:rsidR="005D6F76" w:rsidRPr="00D01332" w:rsidRDefault="00062EB4" w:rsidP="009D6EF3">
      <w:pPr>
        <w:pStyle w:val="ListParagraph"/>
        <w:numPr>
          <w:ilvl w:val="0"/>
          <w:numId w:val="4"/>
        </w:numPr>
        <w:tabs>
          <w:tab w:val="left" w:pos="993"/>
        </w:tabs>
        <w:spacing w:before="0" w:after="120" w:afterAutospacing="0"/>
        <w:ind w:left="0" w:firstLine="709"/>
        <w:rPr>
          <w:b/>
          <w:sz w:val="26"/>
          <w:szCs w:val="26"/>
        </w:rPr>
      </w:pPr>
      <w:r>
        <w:rPr>
          <w:b/>
          <w:sz w:val="26"/>
          <w:szCs w:val="26"/>
        </w:rPr>
        <w:t>Định nghĩa</w:t>
      </w:r>
    </w:p>
    <w:p w14:paraId="4B02955D" w14:textId="4BF61479" w:rsidR="00A6144E" w:rsidRDefault="00062EB4" w:rsidP="009D6EF3">
      <w:pPr>
        <w:spacing w:after="120" w:line="240" w:lineRule="auto"/>
        <w:ind w:firstLine="709"/>
        <w:jc w:val="both"/>
        <w:rPr>
          <w:rFonts w:ascii="Times New Roman" w:eastAsia="Times New Roman" w:hAnsi="Times New Roman" w:cs="Times New Roman"/>
          <w:bCs/>
          <w:sz w:val="26"/>
          <w:szCs w:val="26"/>
        </w:rPr>
      </w:pPr>
      <w:r w:rsidRPr="00062EB4">
        <w:rPr>
          <w:rFonts w:ascii="Times New Roman" w:eastAsia="Times New Roman" w:hAnsi="Times New Roman" w:cs="Times New Roman"/>
          <w:bCs/>
          <w:spacing w:val="-4"/>
          <w:sz w:val="26"/>
          <w:szCs w:val="26"/>
        </w:rPr>
        <w:t>Phác đồ điều trị (PĐĐT): Là một tài liệu hướng dẫn chi tiết, có hệ thống về các bước tiếp cận chẩn đoán và các lựa chọn điều trị cho một bệnh lý hoặc một hội chứng cụ thể, dựa trên các bằng chứng khoa học tốt nhất hiện có</w:t>
      </w:r>
      <w:r w:rsidR="00A6144E" w:rsidRPr="00A6144E">
        <w:rPr>
          <w:rFonts w:ascii="Times New Roman" w:eastAsia="Times New Roman" w:hAnsi="Times New Roman" w:cs="Times New Roman"/>
          <w:bCs/>
          <w:sz w:val="26"/>
          <w:szCs w:val="26"/>
        </w:rPr>
        <w:t>.</w:t>
      </w:r>
    </w:p>
    <w:p w14:paraId="1DB154B5" w14:textId="053B323A" w:rsidR="00AF0F01" w:rsidRPr="002C78CE" w:rsidRDefault="00633FE3" w:rsidP="00A6144E">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509AEF02" w:rsidR="00820F1F" w:rsidRPr="006827D5" w:rsidRDefault="00062EB4" w:rsidP="0056121D">
            <w:pPr>
              <w:pStyle w:val="ListParagraph"/>
              <w:spacing w:before="0" w:after="120" w:afterAutospacing="0"/>
              <w:ind w:left="0" w:firstLine="709"/>
              <w:rPr>
                <w:b/>
                <w:sz w:val="26"/>
                <w:szCs w:val="26"/>
              </w:rPr>
            </w:pPr>
            <w:r>
              <w:rPr>
                <w:b/>
                <w:sz w:val="26"/>
                <w:szCs w:val="26"/>
              </w:rPr>
              <w:t>PĐĐT</w:t>
            </w:r>
          </w:p>
        </w:tc>
        <w:tc>
          <w:tcPr>
            <w:tcW w:w="7371" w:type="dxa"/>
          </w:tcPr>
          <w:p w14:paraId="7FB2190A" w14:textId="38B040FD" w:rsidR="00820F1F" w:rsidRPr="006827D5" w:rsidRDefault="00062EB4" w:rsidP="0056121D">
            <w:pPr>
              <w:pStyle w:val="ListParagraph"/>
              <w:spacing w:before="0" w:after="120" w:afterAutospacing="0"/>
              <w:ind w:left="0" w:firstLine="709"/>
              <w:rPr>
                <w:sz w:val="26"/>
                <w:szCs w:val="26"/>
              </w:rPr>
            </w:pPr>
            <w:r>
              <w:rPr>
                <w:sz w:val="26"/>
                <w:szCs w:val="26"/>
              </w:rPr>
              <w:t xml:space="preserve">Phác đồ điều trị </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2EEB23D2" w:rsidR="00820F1F" w:rsidRPr="006827D5" w:rsidRDefault="002321E1" w:rsidP="0056121D">
            <w:pPr>
              <w:pStyle w:val="ListParagraph"/>
              <w:spacing w:before="0" w:after="120" w:afterAutospacing="0"/>
              <w:ind w:left="0" w:firstLine="709"/>
              <w:rPr>
                <w:b/>
                <w:sz w:val="26"/>
                <w:szCs w:val="26"/>
              </w:rPr>
            </w:pPr>
            <w:r>
              <w:rPr>
                <w:b/>
                <w:sz w:val="26"/>
                <w:szCs w:val="26"/>
              </w:rPr>
              <w:t>BTC</w:t>
            </w:r>
          </w:p>
        </w:tc>
        <w:tc>
          <w:tcPr>
            <w:tcW w:w="7371" w:type="dxa"/>
          </w:tcPr>
          <w:p w14:paraId="46357F33" w14:textId="7F605B9B" w:rsidR="00E96515" w:rsidRPr="00E96515" w:rsidRDefault="002321E1" w:rsidP="0056121D">
            <w:pPr>
              <w:pStyle w:val="ListParagraph"/>
              <w:spacing w:before="0" w:after="120" w:afterAutospacing="0"/>
              <w:ind w:left="0" w:firstLine="709"/>
              <w:rPr>
                <w:sz w:val="26"/>
                <w:szCs w:val="26"/>
              </w:rPr>
            </w:pPr>
            <w:r>
              <w:rPr>
                <w:sz w:val="26"/>
                <w:szCs w:val="26"/>
              </w:rPr>
              <w:t>Ban tổ chức</w:t>
            </w:r>
            <w:r w:rsidR="00820F1F" w:rsidRPr="006827D5">
              <w:rPr>
                <w:sz w:val="26"/>
                <w:szCs w:val="26"/>
              </w:rPr>
              <w:t xml:space="preserve"> </w:t>
            </w:r>
          </w:p>
        </w:tc>
      </w:tr>
      <w:tr w:rsidR="00E96515" w:rsidRPr="006827D5" w14:paraId="30E0E2DF" w14:textId="77777777" w:rsidTr="00E96515">
        <w:tc>
          <w:tcPr>
            <w:tcW w:w="2268" w:type="dxa"/>
          </w:tcPr>
          <w:p w14:paraId="19657DBD" w14:textId="34B49809" w:rsidR="00E96515" w:rsidRPr="006827D5" w:rsidRDefault="00E96515" w:rsidP="0056121D">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56121D">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319DB7F2" w:rsidR="00A91F22" w:rsidRPr="006827D5" w:rsidRDefault="00062EB4" w:rsidP="00A91F22">
            <w:pPr>
              <w:spacing w:after="120"/>
              <w:jc w:val="center"/>
              <w:rPr>
                <w:rFonts w:ascii="Times New Roman" w:hAnsi="Times New Roman"/>
                <w:b/>
                <w:bCs/>
                <w:sz w:val="26"/>
                <w:szCs w:val="26"/>
              </w:rPr>
            </w:pPr>
            <w:r w:rsidRPr="00062EB4">
              <w:rPr>
                <w:rFonts w:ascii="Times New Roman" w:hAnsi="Times New Roman"/>
                <w:sz w:val="26"/>
                <w:szCs w:val="26"/>
              </w:rPr>
              <w:t>Bước 1: Xác định nhu cầu và Đề xuất</w:t>
            </w:r>
          </w:p>
        </w:tc>
        <w:tc>
          <w:tcPr>
            <w:tcW w:w="1559" w:type="dxa"/>
            <w:vAlign w:val="center"/>
          </w:tcPr>
          <w:p w14:paraId="0110F50C" w14:textId="109D022A" w:rsidR="00A91F22" w:rsidRPr="002321E1" w:rsidRDefault="00633FE3" w:rsidP="00A91F22">
            <w:pPr>
              <w:spacing w:after="120"/>
              <w:jc w:val="center"/>
              <w:rPr>
                <w:rFonts w:ascii="Times New Roman" w:hAnsi="Times New Roman"/>
                <w:bCs/>
                <w:sz w:val="26"/>
                <w:szCs w:val="26"/>
              </w:rPr>
            </w:pPr>
            <w:r w:rsidRPr="002321E1">
              <w:rPr>
                <w:rFonts w:ascii="Times New Roman" w:hAnsi="Times New Roman"/>
                <w:bCs/>
                <w:sz w:val="26"/>
                <w:szCs w:val="26"/>
              </w:rPr>
              <w:t>Phòng KHTH</w:t>
            </w:r>
            <w:r w:rsidR="00A6144E" w:rsidRPr="002321E1">
              <w:rPr>
                <w:rFonts w:ascii="Times New Roman" w:hAnsi="Times New Roman"/>
                <w:bCs/>
                <w:sz w:val="26"/>
                <w:szCs w:val="26"/>
              </w:rPr>
              <w:t>/các khoa/phòng được phân công</w:t>
            </w:r>
          </w:p>
        </w:tc>
        <w:tc>
          <w:tcPr>
            <w:tcW w:w="6622" w:type="dxa"/>
            <w:vAlign w:val="center"/>
          </w:tcPr>
          <w:p w14:paraId="384650E6"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Phòng KHTH phối hợp với các khoa lâm sàng rà soát, xác định danh mục các PĐĐT cần xây dựng mới hoặc cập nhật. Nhu cầu có thể xuất phát từ:</w:t>
            </w:r>
          </w:p>
          <w:p w14:paraId="7C9A648A"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Có Hướng dẫn chẩn đoán và điều trị mới của Bộ Y tế.</w:t>
            </w:r>
          </w:p>
          <w:p w14:paraId="4A0FEBEE"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Các bệnh lý thường gặp tại bệnh viện nhưng chưa có phác đồ thống nhất.</w:t>
            </w:r>
          </w:p>
          <w:p w14:paraId="5FDAF595"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Kết quả từ hoạt động bình bệnh án, kiểm thảo tử vong cho thấy sự không thống nhất trong điều trị.</w:t>
            </w:r>
          </w:p>
          <w:p w14:paraId="6E0C3316"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Đề xuất từ các chuyên khoa muốn cập nhật PĐĐT theo các khuyến cáo quốc tế mới.</w:t>
            </w:r>
          </w:p>
          <w:p w14:paraId="02956B7C" w14:textId="6510CAA7" w:rsidR="00A91F22" w:rsidRPr="006827D5" w:rsidRDefault="00062EB4" w:rsidP="00062EB4">
            <w:pPr>
              <w:spacing w:after="120"/>
              <w:ind w:firstLine="179"/>
              <w:rPr>
                <w:rFonts w:ascii="Times New Roman" w:hAnsi="Times New Roman"/>
                <w:b/>
                <w:sz w:val="26"/>
                <w:szCs w:val="26"/>
              </w:rPr>
            </w:pPr>
            <w:r w:rsidRPr="00062EB4">
              <w:rPr>
                <w:rFonts w:ascii="Times New Roman" w:hAnsi="Times New Roman"/>
                <w:bCs/>
                <w:sz w:val="26"/>
                <w:szCs w:val="26"/>
              </w:rPr>
              <w:t>Phòng KHTH lập Kế hoạch xây dựng/cập nhật PĐĐT hàng năm, trình Ban Giám đốc phê duyệt.</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1BB649DD" w:rsidR="00A91F22" w:rsidRPr="00A91F22" w:rsidRDefault="00062EB4" w:rsidP="00A91F22">
            <w:pPr>
              <w:spacing w:after="120"/>
              <w:jc w:val="center"/>
              <w:rPr>
                <w:rFonts w:ascii="Times New Roman" w:hAnsi="Times New Roman"/>
                <w:sz w:val="26"/>
                <w:szCs w:val="26"/>
              </w:rPr>
            </w:pPr>
            <w:r w:rsidRPr="00062EB4">
              <w:rPr>
                <w:rFonts w:ascii="Times New Roman" w:hAnsi="Times New Roman"/>
                <w:sz w:val="26"/>
                <w:szCs w:val="26"/>
              </w:rPr>
              <w:t>Bước 2: Thành lập Tổ/Nhóm biên soạn</w:t>
            </w:r>
          </w:p>
        </w:tc>
        <w:tc>
          <w:tcPr>
            <w:tcW w:w="1559" w:type="dxa"/>
            <w:vAlign w:val="center"/>
          </w:tcPr>
          <w:p w14:paraId="2AD508EC" w14:textId="29DA5BEE" w:rsidR="00A91F22" w:rsidRPr="002321E1" w:rsidRDefault="00A6144E" w:rsidP="00A91F22">
            <w:pPr>
              <w:spacing w:after="120"/>
              <w:jc w:val="center"/>
              <w:rPr>
                <w:rFonts w:ascii="Times New Roman" w:hAnsi="Times New Roman"/>
                <w:bCs/>
                <w:sz w:val="26"/>
                <w:szCs w:val="26"/>
              </w:rPr>
            </w:pPr>
            <w:r w:rsidRPr="002321E1">
              <w:rPr>
                <w:rFonts w:ascii="Times New Roman" w:hAnsi="Times New Roman"/>
                <w:bCs/>
                <w:sz w:val="26"/>
                <w:szCs w:val="26"/>
              </w:rPr>
              <w:t>Phòng KHTH/các khoa/phòng được phân công</w:t>
            </w:r>
          </w:p>
        </w:tc>
        <w:tc>
          <w:tcPr>
            <w:tcW w:w="6622" w:type="dxa"/>
            <w:vAlign w:val="center"/>
          </w:tcPr>
          <w:p w14:paraId="0E67DD13"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Sau khi kế hoạch được duyệt, Ban Giám đốc ra quyết định thành lập các Tổ biên soạn cho từng PĐĐT.</w:t>
            </w:r>
          </w:p>
          <w:p w14:paraId="4198C8A4"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Thành phần Tổ biên soạn:</w:t>
            </w:r>
          </w:p>
          <w:p w14:paraId="1D5611E6" w14:textId="77777777" w:rsidR="00062EB4" w:rsidRPr="00062EB4"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Tổ trưởng: Thường là Trưởng/Phó khoa của chuyên khoa chính liên quan đến bệnh lý.</w:t>
            </w:r>
          </w:p>
          <w:p w14:paraId="49C40499" w14:textId="09F961A0" w:rsidR="00A91F22" w:rsidRPr="00A91F22" w:rsidRDefault="00062EB4" w:rsidP="00062EB4">
            <w:pPr>
              <w:spacing w:after="0"/>
              <w:ind w:firstLine="179"/>
              <w:jc w:val="both"/>
              <w:rPr>
                <w:rFonts w:ascii="Times New Roman" w:hAnsi="Times New Roman"/>
                <w:bCs/>
                <w:sz w:val="26"/>
                <w:szCs w:val="26"/>
              </w:rPr>
            </w:pPr>
            <w:r w:rsidRPr="00062EB4">
              <w:rPr>
                <w:rFonts w:ascii="Times New Roman" w:hAnsi="Times New Roman"/>
                <w:bCs/>
                <w:sz w:val="26"/>
                <w:szCs w:val="26"/>
              </w:rPr>
              <w:t>Thành viên: Các bác sĩ có kinh nghiệm sâu về mặt bệnh đó, Dược sĩ lâm sàng (bắt buộc), và có thể mời thêm chuyên gia từ các chuyên khoa liên quan khác</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3</w:t>
            </w:r>
          </w:p>
        </w:tc>
        <w:tc>
          <w:tcPr>
            <w:tcW w:w="1418" w:type="dxa"/>
            <w:vAlign w:val="center"/>
          </w:tcPr>
          <w:p w14:paraId="027E9160" w14:textId="1F2BB703" w:rsidR="00A91F22" w:rsidRPr="00A91F22" w:rsidRDefault="00062EB4" w:rsidP="00D84B35">
            <w:pPr>
              <w:spacing w:after="120"/>
              <w:jc w:val="center"/>
              <w:rPr>
                <w:rFonts w:ascii="Times New Roman" w:hAnsi="Times New Roman"/>
                <w:sz w:val="26"/>
                <w:szCs w:val="26"/>
              </w:rPr>
            </w:pPr>
            <w:r w:rsidRPr="00062EB4">
              <w:rPr>
                <w:rFonts w:ascii="Times New Roman" w:hAnsi="Times New Roman"/>
                <w:sz w:val="26"/>
                <w:szCs w:val="26"/>
              </w:rPr>
              <w:t>Bước 3: Soạn thảo dự thảo Phác đồ</w:t>
            </w:r>
          </w:p>
        </w:tc>
        <w:tc>
          <w:tcPr>
            <w:tcW w:w="1559" w:type="dxa"/>
            <w:vAlign w:val="center"/>
          </w:tcPr>
          <w:p w14:paraId="4C9BC90B" w14:textId="483BF77C" w:rsidR="00A91F22" w:rsidRPr="002321E1" w:rsidRDefault="00062EB4" w:rsidP="00D84B35">
            <w:pPr>
              <w:spacing w:after="120"/>
              <w:jc w:val="center"/>
              <w:rPr>
                <w:rFonts w:ascii="Times New Roman" w:hAnsi="Times New Roman"/>
                <w:bCs/>
                <w:sz w:val="26"/>
                <w:szCs w:val="26"/>
              </w:rPr>
            </w:pPr>
            <w:r>
              <w:rPr>
                <w:rFonts w:ascii="Times New Roman" w:hAnsi="Times New Roman"/>
                <w:bCs/>
                <w:sz w:val="26"/>
                <w:szCs w:val="26"/>
              </w:rPr>
              <w:t>Tổ biên soạn</w:t>
            </w:r>
            <w:r w:rsidR="00633FE3" w:rsidRPr="002321E1">
              <w:rPr>
                <w:rFonts w:ascii="Times New Roman" w:hAnsi="Times New Roman"/>
                <w:bCs/>
                <w:sz w:val="26"/>
                <w:szCs w:val="26"/>
              </w:rPr>
              <w:t xml:space="preserve"> </w:t>
            </w:r>
          </w:p>
        </w:tc>
        <w:tc>
          <w:tcPr>
            <w:tcW w:w="6622" w:type="dxa"/>
          </w:tcPr>
          <w:p w14:paraId="72301070" w14:textId="77777777" w:rsidR="00062EB4" w:rsidRPr="00062EB4" w:rsidRDefault="00062EB4" w:rsidP="00062EB4">
            <w:pPr>
              <w:spacing w:after="0"/>
              <w:ind w:firstLine="179"/>
              <w:jc w:val="both"/>
              <w:rPr>
                <w:rFonts w:ascii="Times New Roman" w:hAnsi="Times New Roman"/>
                <w:sz w:val="26"/>
                <w:szCs w:val="26"/>
              </w:rPr>
            </w:pPr>
            <w:r w:rsidRPr="00062EB4">
              <w:rPr>
                <w:rFonts w:ascii="Times New Roman" w:hAnsi="Times New Roman"/>
                <w:sz w:val="26"/>
                <w:szCs w:val="26"/>
              </w:rPr>
              <w:t>Tổ biên soạn tiến hành:</w:t>
            </w:r>
          </w:p>
          <w:p w14:paraId="38F38017" w14:textId="289A968D" w:rsidR="00062EB4" w:rsidRPr="00062EB4" w:rsidRDefault="00062EB4" w:rsidP="00062EB4">
            <w:pPr>
              <w:spacing w:after="0"/>
              <w:ind w:firstLine="179"/>
              <w:jc w:val="both"/>
              <w:rPr>
                <w:rFonts w:ascii="Times New Roman" w:hAnsi="Times New Roman"/>
                <w:sz w:val="26"/>
                <w:szCs w:val="26"/>
              </w:rPr>
            </w:pPr>
            <w:r w:rsidRPr="00062EB4">
              <w:rPr>
                <w:rFonts w:ascii="Times New Roman" w:hAnsi="Times New Roman"/>
                <w:sz w:val="26"/>
                <w:szCs w:val="26"/>
              </w:rPr>
              <w:t>Tổng quan y văn: Tìm kiếm và nghiên cứu một cách có hệ thống các tài liệu nguồn, bao gồm:</w:t>
            </w:r>
          </w:p>
          <w:p w14:paraId="7085BF4E" w14:textId="77777777" w:rsidR="00062EB4" w:rsidRPr="00062EB4" w:rsidRDefault="00062EB4" w:rsidP="00062EB4">
            <w:pPr>
              <w:spacing w:after="0"/>
              <w:ind w:firstLine="179"/>
              <w:jc w:val="both"/>
              <w:rPr>
                <w:rFonts w:ascii="Times New Roman" w:hAnsi="Times New Roman"/>
                <w:sz w:val="26"/>
                <w:szCs w:val="26"/>
              </w:rPr>
            </w:pPr>
            <w:r w:rsidRPr="00062EB4">
              <w:rPr>
                <w:rFonts w:ascii="Times New Roman" w:hAnsi="Times New Roman"/>
                <w:sz w:val="26"/>
                <w:szCs w:val="26"/>
              </w:rPr>
              <w:t>Hướng dẫn chẩn đoán và điều trị của Bộ Y tế (ưu tiên số 1).</w:t>
            </w:r>
          </w:p>
          <w:p w14:paraId="56090214" w14:textId="170DB46E" w:rsidR="00062EB4" w:rsidRPr="00062EB4" w:rsidRDefault="00062EB4" w:rsidP="00062EB4">
            <w:pPr>
              <w:spacing w:after="0"/>
              <w:ind w:firstLine="179"/>
              <w:jc w:val="both"/>
              <w:rPr>
                <w:rFonts w:ascii="Times New Roman" w:hAnsi="Times New Roman"/>
                <w:sz w:val="26"/>
                <w:szCs w:val="26"/>
              </w:rPr>
            </w:pPr>
            <w:r w:rsidRPr="00062EB4">
              <w:rPr>
                <w:rFonts w:ascii="Times New Roman" w:hAnsi="Times New Roman"/>
                <w:sz w:val="26"/>
                <w:szCs w:val="26"/>
              </w:rPr>
              <w:t>Khuyến cáo</w:t>
            </w:r>
            <w:r>
              <w:rPr>
                <w:rFonts w:ascii="Times New Roman" w:hAnsi="Times New Roman"/>
                <w:sz w:val="26"/>
                <w:szCs w:val="26"/>
              </w:rPr>
              <w:t xml:space="preserve"> </w:t>
            </w:r>
            <w:r w:rsidRPr="00062EB4">
              <w:rPr>
                <w:rFonts w:ascii="Times New Roman" w:hAnsi="Times New Roman"/>
                <w:sz w:val="26"/>
                <w:szCs w:val="26"/>
              </w:rPr>
              <w:t>từ các hiệp hội chuyên ngành lớn (VD: AHA cho Tim mạch, ADA cho Đái tháo đường, IDSA cho Bệnh truyền nhiễm...).</w:t>
            </w:r>
          </w:p>
          <w:p w14:paraId="32A1A517" w14:textId="6C830F10" w:rsidR="00062EB4" w:rsidRPr="00062EB4" w:rsidRDefault="00062EB4" w:rsidP="00062EB4">
            <w:pPr>
              <w:spacing w:after="0"/>
              <w:ind w:firstLine="179"/>
              <w:jc w:val="both"/>
              <w:rPr>
                <w:rFonts w:ascii="Times New Roman" w:hAnsi="Times New Roman"/>
                <w:sz w:val="26"/>
                <w:szCs w:val="26"/>
              </w:rPr>
            </w:pPr>
            <w:r w:rsidRPr="00062EB4">
              <w:rPr>
                <w:rFonts w:ascii="Times New Roman" w:hAnsi="Times New Roman"/>
                <w:sz w:val="26"/>
                <w:szCs w:val="26"/>
              </w:rPr>
              <w:t>Các thử nghiệm lâm sàng ngẫu nhiên có đối chứng, các phân tích gộp.</w:t>
            </w:r>
          </w:p>
          <w:p w14:paraId="0F7C9B8B" w14:textId="7E472570" w:rsidR="00A91F22" w:rsidRPr="00A91F22" w:rsidRDefault="00062EB4" w:rsidP="00062EB4">
            <w:pPr>
              <w:spacing w:after="0"/>
              <w:ind w:firstLine="179"/>
              <w:jc w:val="both"/>
              <w:rPr>
                <w:rFonts w:ascii="Times New Roman" w:hAnsi="Times New Roman"/>
                <w:bCs/>
                <w:sz w:val="26"/>
                <w:szCs w:val="26"/>
              </w:rPr>
            </w:pPr>
            <w:r w:rsidRPr="00062EB4">
              <w:rPr>
                <w:rFonts w:ascii="Times New Roman" w:hAnsi="Times New Roman"/>
                <w:sz w:val="26"/>
                <w:szCs w:val="26"/>
              </w:rPr>
              <w:t>Soạn thảo nội dung: Dựa trên các bằng chứng thu thập được và kinh nghiệm thực tiễn, Tổ biên soạn xây dựng Dự thảo lần 1 theo một biểu mẫu thống nhất của bệnh viện. Nội dung cần rõ ràng, logic và có trích dẫn tài liệu tham khảo.</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4</w:t>
            </w:r>
          </w:p>
        </w:tc>
        <w:tc>
          <w:tcPr>
            <w:tcW w:w="1418" w:type="dxa"/>
            <w:vAlign w:val="center"/>
          </w:tcPr>
          <w:p w14:paraId="20EB03D2" w14:textId="31956378" w:rsidR="00A91F22" w:rsidRPr="00A91F22" w:rsidRDefault="00F8778F" w:rsidP="00D84B35">
            <w:pPr>
              <w:spacing w:after="120"/>
              <w:jc w:val="center"/>
              <w:rPr>
                <w:rFonts w:ascii="Times New Roman" w:hAnsi="Times New Roman"/>
                <w:sz w:val="26"/>
                <w:szCs w:val="26"/>
              </w:rPr>
            </w:pPr>
            <w:r w:rsidRPr="00F8778F">
              <w:rPr>
                <w:rFonts w:ascii="Times New Roman" w:hAnsi="Times New Roman"/>
                <w:sz w:val="26"/>
                <w:szCs w:val="26"/>
              </w:rPr>
              <w:t>Bước 4: Góp ý và Hoàn thiện dự thảo</w:t>
            </w:r>
          </w:p>
        </w:tc>
        <w:tc>
          <w:tcPr>
            <w:tcW w:w="1559" w:type="dxa"/>
            <w:vAlign w:val="center"/>
          </w:tcPr>
          <w:p w14:paraId="72FE448F" w14:textId="4CAE5211" w:rsidR="00A91F22" w:rsidRPr="002321E1" w:rsidRDefault="00F8778F" w:rsidP="00D84B35">
            <w:pPr>
              <w:spacing w:after="120"/>
              <w:jc w:val="center"/>
              <w:rPr>
                <w:rFonts w:ascii="Times New Roman" w:hAnsi="Times New Roman"/>
                <w:bCs/>
                <w:sz w:val="26"/>
                <w:szCs w:val="26"/>
              </w:rPr>
            </w:pPr>
            <w:r>
              <w:rPr>
                <w:rFonts w:ascii="Times New Roman" w:hAnsi="Times New Roman"/>
                <w:bCs/>
                <w:sz w:val="26"/>
                <w:szCs w:val="26"/>
              </w:rPr>
              <w:t>Thư ký tổ biên soạn</w:t>
            </w:r>
          </w:p>
        </w:tc>
        <w:tc>
          <w:tcPr>
            <w:tcW w:w="6622" w:type="dxa"/>
          </w:tcPr>
          <w:p w14:paraId="2244E5D9" w14:textId="77777777" w:rsidR="00F8778F" w:rsidRPr="00F8778F" w:rsidRDefault="00F8778F" w:rsidP="00F8778F">
            <w:pPr>
              <w:spacing w:after="0"/>
              <w:ind w:firstLine="179"/>
              <w:jc w:val="both"/>
              <w:rPr>
                <w:rFonts w:ascii="Times New Roman" w:hAnsi="Times New Roman"/>
                <w:bCs/>
                <w:sz w:val="26"/>
                <w:szCs w:val="26"/>
              </w:rPr>
            </w:pPr>
            <w:r w:rsidRPr="00F8778F">
              <w:rPr>
                <w:rFonts w:ascii="Times New Roman" w:hAnsi="Times New Roman"/>
                <w:bCs/>
                <w:sz w:val="26"/>
                <w:szCs w:val="26"/>
              </w:rPr>
              <w:t>Dự thảo được gửi đến các chuyên gia, các khoa liên quan để lấy ý kiến góp ý.</w:t>
            </w:r>
          </w:p>
          <w:p w14:paraId="1F9927C6" w14:textId="48327A17" w:rsidR="00A91F22" w:rsidRPr="00A91F22" w:rsidRDefault="00F8778F" w:rsidP="00F8778F">
            <w:pPr>
              <w:spacing w:after="0"/>
              <w:ind w:firstLine="179"/>
              <w:jc w:val="both"/>
              <w:rPr>
                <w:rFonts w:ascii="Times New Roman" w:hAnsi="Times New Roman"/>
                <w:sz w:val="26"/>
                <w:szCs w:val="26"/>
              </w:rPr>
            </w:pPr>
            <w:r w:rsidRPr="00F8778F">
              <w:rPr>
                <w:rFonts w:ascii="Times New Roman" w:hAnsi="Times New Roman"/>
                <w:bCs/>
                <w:sz w:val="26"/>
                <w:szCs w:val="26"/>
              </w:rPr>
              <w:t>Tổ biên soạn tiếp thu, giải trình và chỉnh sửa để hoàn thiện Dự thảo lần 2.</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244E8399" w:rsidR="00A91F22" w:rsidRPr="00D01332" w:rsidRDefault="00F8778F" w:rsidP="00D84B35">
            <w:pPr>
              <w:spacing w:after="120"/>
              <w:jc w:val="center"/>
              <w:rPr>
                <w:rFonts w:ascii="Times New Roman" w:hAnsi="Times New Roman"/>
                <w:sz w:val="26"/>
                <w:szCs w:val="26"/>
              </w:rPr>
            </w:pPr>
            <w:r w:rsidRPr="00F8778F">
              <w:rPr>
                <w:rFonts w:ascii="Times New Roman" w:hAnsi="Times New Roman"/>
                <w:sz w:val="26"/>
                <w:szCs w:val="26"/>
              </w:rPr>
              <w:t>Bước 5: Thẩm định của Hội đồng chuyên môn</w:t>
            </w:r>
          </w:p>
        </w:tc>
        <w:tc>
          <w:tcPr>
            <w:tcW w:w="1559" w:type="dxa"/>
            <w:vAlign w:val="center"/>
          </w:tcPr>
          <w:p w14:paraId="7FB7F7A6" w14:textId="06998ABF" w:rsidR="00A91F22" w:rsidRPr="003C446F" w:rsidRDefault="00F8778F" w:rsidP="00D84B35">
            <w:pPr>
              <w:spacing w:after="120"/>
              <w:jc w:val="center"/>
              <w:rPr>
                <w:rFonts w:ascii="Times New Roman" w:eastAsia="Calibri" w:hAnsi="Times New Roman"/>
                <w:sz w:val="26"/>
                <w:szCs w:val="26"/>
              </w:rPr>
            </w:pPr>
            <w:r>
              <w:rPr>
                <w:rFonts w:ascii="Times New Roman" w:eastAsia="Calibri" w:hAnsi="Times New Roman"/>
                <w:sz w:val="26"/>
                <w:szCs w:val="26"/>
              </w:rPr>
              <w:t>KHTH</w:t>
            </w:r>
          </w:p>
        </w:tc>
        <w:tc>
          <w:tcPr>
            <w:tcW w:w="6622" w:type="dxa"/>
            <w:vAlign w:val="center"/>
          </w:tcPr>
          <w:p w14:paraId="2922E98D"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Phòng KHTH trình toàn bộ hồ sơ (Dự thảo lần 2, tài liệu tham khảo...) lên Hội đồng Thuốc và Điều trị hoặc Hội đồng KHKT.</w:t>
            </w:r>
          </w:p>
          <w:p w14:paraId="3B669FC3"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Hội đồng tổ chức họp thẩm định:</w:t>
            </w:r>
          </w:p>
          <w:p w14:paraId="6B0BD800"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Đánh giá tính khoa học, tính cập nhật và tính khả thi của phác đồ.</w:t>
            </w:r>
          </w:p>
          <w:p w14:paraId="406A61E0"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Soi chiếu với danh mục thuốc, vật tư, trang thiết bị hiện có của bệnh viện.</w:t>
            </w:r>
          </w:p>
          <w:p w14:paraId="4C399B2D"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Đảm bảo phác đồ tuân thủ các quy định của BHYT.</w:t>
            </w:r>
          </w:p>
          <w:p w14:paraId="4FA48E78" w14:textId="5902EE27" w:rsidR="00A91F22" w:rsidRPr="003C446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Hội đồng bỏ phiếu thông qua và đưa ra kết luận cuối cùng, được ghi nhận trong "Biên bản họp thẩm định PĐĐT".</w:t>
            </w:r>
          </w:p>
        </w:tc>
      </w:tr>
      <w:tr w:rsidR="00A91F22" w:rsidRPr="006827D5" w14:paraId="26B7CED2" w14:textId="77777777" w:rsidTr="00DD253D">
        <w:trPr>
          <w:trHeight w:val="743"/>
          <w:jc w:val="center"/>
        </w:trPr>
        <w:tc>
          <w:tcPr>
            <w:tcW w:w="704" w:type="dxa"/>
            <w:vAlign w:val="center"/>
          </w:tcPr>
          <w:p w14:paraId="1042375F" w14:textId="2B1E0182" w:rsidR="00A91F22" w:rsidRDefault="00DD253D" w:rsidP="00A91F22">
            <w:pPr>
              <w:spacing w:after="120"/>
              <w:jc w:val="center"/>
              <w:rPr>
                <w:rFonts w:ascii="Times New Roman" w:hAnsi="Times New Roman"/>
                <w:sz w:val="26"/>
                <w:szCs w:val="26"/>
              </w:rPr>
            </w:pPr>
            <w:r>
              <w:rPr>
                <w:rFonts w:ascii="Times New Roman" w:hAnsi="Times New Roman"/>
                <w:sz w:val="26"/>
                <w:szCs w:val="26"/>
              </w:rPr>
              <w:t>6</w:t>
            </w:r>
          </w:p>
        </w:tc>
        <w:tc>
          <w:tcPr>
            <w:tcW w:w="1418" w:type="dxa"/>
            <w:vAlign w:val="center"/>
          </w:tcPr>
          <w:p w14:paraId="5752F27B" w14:textId="0CAB8A05" w:rsidR="00A91F22" w:rsidRPr="00D01332" w:rsidRDefault="00F8778F" w:rsidP="00FB1E37">
            <w:pPr>
              <w:spacing w:after="120"/>
              <w:jc w:val="center"/>
              <w:rPr>
                <w:rFonts w:ascii="Times New Roman" w:hAnsi="Times New Roman"/>
                <w:sz w:val="26"/>
                <w:szCs w:val="26"/>
              </w:rPr>
            </w:pPr>
            <w:r w:rsidRPr="00F8778F">
              <w:rPr>
                <w:rFonts w:ascii="Times New Roman" w:hAnsi="Times New Roman"/>
                <w:sz w:val="26"/>
                <w:szCs w:val="26"/>
              </w:rPr>
              <w:t>Bước 6: Ban hành chính thức</w:t>
            </w:r>
          </w:p>
        </w:tc>
        <w:tc>
          <w:tcPr>
            <w:tcW w:w="1559" w:type="dxa"/>
            <w:vAlign w:val="center"/>
          </w:tcPr>
          <w:p w14:paraId="242D30A7" w14:textId="45725707" w:rsidR="00A91F22" w:rsidRPr="00A91F22" w:rsidRDefault="00F8778F" w:rsidP="00A91F22">
            <w:pPr>
              <w:spacing w:after="120"/>
              <w:jc w:val="center"/>
              <w:rPr>
                <w:rFonts w:ascii="Times New Roman" w:eastAsia="Calibri" w:hAnsi="Times New Roman"/>
                <w:sz w:val="26"/>
                <w:szCs w:val="26"/>
              </w:rPr>
            </w:pPr>
            <w:r>
              <w:rPr>
                <w:rFonts w:ascii="Times New Roman" w:eastAsia="Calibri" w:hAnsi="Times New Roman"/>
                <w:sz w:val="26"/>
                <w:szCs w:val="26"/>
              </w:rPr>
              <w:t>KHTH</w:t>
            </w:r>
          </w:p>
        </w:tc>
        <w:tc>
          <w:tcPr>
            <w:tcW w:w="6622" w:type="dxa"/>
            <w:vAlign w:val="center"/>
          </w:tcPr>
          <w:p w14:paraId="46779BE3"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Tổ biên soạn chỉnh sửa lần cuối theo kết luận của Hội đồng.</w:t>
            </w:r>
          </w:p>
          <w:p w14:paraId="75A43877"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Phòng KHTH hoàn thiện hồ sơ, trình Giám đốc bệnh viện ký Quyết định ban hành PĐĐT.</w:t>
            </w:r>
          </w:p>
          <w:p w14:paraId="74B03395" w14:textId="381727BD" w:rsidR="00A91F22" w:rsidRPr="00A91F22"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PĐĐT được mã hóa, kiểm soát phiên bản và trở thành tài liệu pháp lý-chuyên môn chính thức của bệnh viện.</w:t>
            </w:r>
          </w:p>
        </w:tc>
      </w:tr>
      <w:tr w:rsidR="002321E1" w:rsidRPr="006827D5" w14:paraId="2509272B" w14:textId="77777777" w:rsidTr="00DD253D">
        <w:trPr>
          <w:trHeight w:val="743"/>
          <w:jc w:val="center"/>
        </w:trPr>
        <w:tc>
          <w:tcPr>
            <w:tcW w:w="704" w:type="dxa"/>
            <w:vAlign w:val="center"/>
          </w:tcPr>
          <w:p w14:paraId="33021CB7" w14:textId="3739D052" w:rsidR="002321E1" w:rsidRDefault="002321E1" w:rsidP="00A91F22">
            <w:pPr>
              <w:spacing w:after="120"/>
              <w:jc w:val="center"/>
              <w:rPr>
                <w:rFonts w:ascii="Times New Roman" w:hAnsi="Times New Roman"/>
                <w:sz w:val="26"/>
                <w:szCs w:val="26"/>
              </w:rPr>
            </w:pPr>
            <w:r>
              <w:rPr>
                <w:rFonts w:ascii="Times New Roman" w:hAnsi="Times New Roman"/>
                <w:sz w:val="26"/>
                <w:szCs w:val="26"/>
              </w:rPr>
              <w:t>7</w:t>
            </w:r>
          </w:p>
        </w:tc>
        <w:tc>
          <w:tcPr>
            <w:tcW w:w="1418" w:type="dxa"/>
            <w:vAlign w:val="center"/>
          </w:tcPr>
          <w:p w14:paraId="7314783C" w14:textId="76B0265F" w:rsidR="002321E1" w:rsidRPr="002321E1" w:rsidRDefault="00F8778F" w:rsidP="00FB1E37">
            <w:pPr>
              <w:spacing w:after="120"/>
              <w:jc w:val="center"/>
              <w:rPr>
                <w:rFonts w:ascii="Times New Roman" w:hAnsi="Times New Roman"/>
                <w:sz w:val="26"/>
                <w:szCs w:val="26"/>
              </w:rPr>
            </w:pPr>
            <w:r w:rsidRPr="00F8778F">
              <w:rPr>
                <w:rFonts w:ascii="Times New Roman" w:hAnsi="Times New Roman"/>
                <w:sz w:val="26"/>
                <w:szCs w:val="26"/>
              </w:rPr>
              <w:t>Bước 7: Phổ biến và Đào tạo</w:t>
            </w:r>
          </w:p>
        </w:tc>
        <w:tc>
          <w:tcPr>
            <w:tcW w:w="1559" w:type="dxa"/>
            <w:vAlign w:val="center"/>
          </w:tcPr>
          <w:p w14:paraId="73559B3E" w14:textId="2BD4E50D" w:rsidR="002321E1" w:rsidRDefault="00F8778F" w:rsidP="00A91F22">
            <w:pPr>
              <w:spacing w:after="120"/>
              <w:jc w:val="center"/>
              <w:rPr>
                <w:rFonts w:ascii="Times New Roman" w:eastAsia="Calibri" w:hAnsi="Times New Roman"/>
                <w:sz w:val="26"/>
                <w:szCs w:val="26"/>
              </w:rPr>
            </w:pPr>
            <w:r>
              <w:rPr>
                <w:rFonts w:ascii="Times New Roman" w:eastAsia="Calibri" w:hAnsi="Times New Roman"/>
                <w:sz w:val="26"/>
                <w:szCs w:val="26"/>
              </w:rPr>
              <w:t>KHTH/Các phòng/khoa được phân công</w:t>
            </w:r>
          </w:p>
        </w:tc>
        <w:tc>
          <w:tcPr>
            <w:tcW w:w="6622" w:type="dxa"/>
            <w:vAlign w:val="center"/>
          </w:tcPr>
          <w:p w14:paraId="65540CA9"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PĐĐT đã ban hành được đăng tải lên hệ thống quản lý văn bản nội bộ, website bệnh viện và tích hợp vào hệ thống BAĐT (dưới dạng các gợi ý, cảnh báo hỗ trợ quyết định lâm sàng nếu có thể).</w:t>
            </w:r>
          </w:p>
          <w:p w14:paraId="363186B2" w14:textId="6476A7BA" w:rsidR="002321E1" w:rsidRPr="002321E1"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Khoa/phòng chuyên môn chịu trách nhiệm chính trong việc tổ chức các buổi sinh hoạt khoa học, tập huấn để đào tạo cho toàn bộ bác sĩ, điều dưỡng về PĐĐT mới.</w:t>
            </w:r>
          </w:p>
        </w:tc>
      </w:tr>
      <w:tr w:rsidR="002321E1" w:rsidRPr="006827D5" w14:paraId="4DFDFFC4" w14:textId="77777777" w:rsidTr="00DD253D">
        <w:trPr>
          <w:trHeight w:val="743"/>
          <w:jc w:val="center"/>
        </w:trPr>
        <w:tc>
          <w:tcPr>
            <w:tcW w:w="704" w:type="dxa"/>
            <w:vAlign w:val="center"/>
          </w:tcPr>
          <w:p w14:paraId="5E389B35" w14:textId="2449DF1E" w:rsidR="002321E1" w:rsidRDefault="002321E1" w:rsidP="00A91F22">
            <w:pPr>
              <w:spacing w:after="120"/>
              <w:jc w:val="center"/>
              <w:rPr>
                <w:rFonts w:ascii="Times New Roman" w:hAnsi="Times New Roman"/>
                <w:sz w:val="26"/>
                <w:szCs w:val="26"/>
              </w:rPr>
            </w:pPr>
            <w:r>
              <w:rPr>
                <w:rFonts w:ascii="Times New Roman" w:hAnsi="Times New Roman"/>
                <w:sz w:val="26"/>
                <w:szCs w:val="26"/>
              </w:rPr>
              <w:t>8</w:t>
            </w:r>
          </w:p>
        </w:tc>
        <w:tc>
          <w:tcPr>
            <w:tcW w:w="1418" w:type="dxa"/>
            <w:vAlign w:val="center"/>
          </w:tcPr>
          <w:p w14:paraId="3CA71AB1" w14:textId="64EF3D7C" w:rsidR="002321E1" w:rsidRPr="002321E1" w:rsidRDefault="00F8778F" w:rsidP="00FB1E37">
            <w:pPr>
              <w:spacing w:after="120"/>
              <w:jc w:val="center"/>
              <w:rPr>
                <w:rFonts w:ascii="Times New Roman" w:hAnsi="Times New Roman"/>
                <w:sz w:val="26"/>
                <w:szCs w:val="26"/>
              </w:rPr>
            </w:pPr>
            <w:r w:rsidRPr="00F8778F">
              <w:rPr>
                <w:rFonts w:ascii="Times New Roman" w:hAnsi="Times New Roman"/>
                <w:sz w:val="26"/>
                <w:szCs w:val="26"/>
              </w:rPr>
              <w:t>Bước 8: Giám sát việc áp dụng</w:t>
            </w:r>
          </w:p>
        </w:tc>
        <w:tc>
          <w:tcPr>
            <w:tcW w:w="1559" w:type="dxa"/>
            <w:vAlign w:val="center"/>
          </w:tcPr>
          <w:p w14:paraId="71B7DB5A" w14:textId="49E2B058" w:rsidR="002321E1" w:rsidRDefault="00F8778F" w:rsidP="00A91F22">
            <w:pPr>
              <w:spacing w:after="120"/>
              <w:jc w:val="center"/>
              <w:rPr>
                <w:rFonts w:ascii="Times New Roman" w:eastAsia="Calibri" w:hAnsi="Times New Roman"/>
                <w:sz w:val="26"/>
                <w:szCs w:val="26"/>
              </w:rPr>
            </w:pPr>
            <w:r w:rsidRPr="00F8778F">
              <w:rPr>
                <w:rFonts w:ascii="Times New Roman" w:eastAsia="Calibri" w:hAnsi="Times New Roman"/>
                <w:sz w:val="26"/>
                <w:szCs w:val="26"/>
              </w:rPr>
              <w:t>KHTH/Các phòng/khoa được phân công</w:t>
            </w:r>
          </w:p>
        </w:tc>
        <w:tc>
          <w:tcPr>
            <w:tcW w:w="6622" w:type="dxa"/>
            <w:vAlign w:val="center"/>
          </w:tcPr>
          <w:p w14:paraId="7167D637"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Việc tuân thủ PĐĐT sẽ được giám sát thông qua các hoạt động:</w:t>
            </w:r>
          </w:p>
          <w:p w14:paraId="3791E4CE"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Kiểm tra hồ sơ bệnh án định kỳ (do Phòng KHTH/QLCL thực hiện).</w:t>
            </w:r>
          </w:p>
          <w:p w14:paraId="7303912B"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Bình bệnh án, bình đơn thuốc tại các khoa.</w:t>
            </w:r>
          </w:p>
          <w:p w14:paraId="356710D8" w14:textId="6AE512C2" w:rsidR="002321E1" w:rsidRPr="002321E1"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Phân tích dữ liệu sử dụng thuốc (do Khoa Dược thực hiện).</w:t>
            </w:r>
          </w:p>
        </w:tc>
      </w:tr>
      <w:tr w:rsidR="002321E1" w:rsidRPr="006827D5" w14:paraId="32D8CCCA" w14:textId="77777777" w:rsidTr="00DD253D">
        <w:trPr>
          <w:trHeight w:val="743"/>
          <w:jc w:val="center"/>
        </w:trPr>
        <w:tc>
          <w:tcPr>
            <w:tcW w:w="704" w:type="dxa"/>
            <w:vAlign w:val="center"/>
          </w:tcPr>
          <w:p w14:paraId="46F5D64A" w14:textId="58F5FD03" w:rsidR="002321E1" w:rsidRDefault="002321E1" w:rsidP="00A91F22">
            <w:pPr>
              <w:spacing w:after="120"/>
              <w:jc w:val="center"/>
              <w:rPr>
                <w:rFonts w:ascii="Times New Roman" w:hAnsi="Times New Roman"/>
                <w:sz w:val="26"/>
                <w:szCs w:val="26"/>
              </w:rPr>
            </w:pPr>
            <w:r>
              <w:rPr>
                <w:rFonts w:ascii="Times New Roman" w:hAnsi="Times New Roman"/>
                <w:sz w:val="26"/>
                <w:szCs w:val="26"/>
              </w:rPr>
              <w:t>9</w:t>
            </w:r>
          </w:p>
        </w:tc>
        <w:tc>
          <w:tcPr>
            <w:tcW w:w="1418" w:type="dxa"/>
            <w:vAlign w:val="center"/>
          </w:tcPr>
          <w:p w14:paraId="602AA8A7" w14:textId="3FF85FFE" w:rsidR="002321E1" w:rsidRPr="002321E1" w:rsidRDefault="00F8778F" w:rsidP="00FB1E37">
            <w:pPr>
              <w:spacing w:after="120"/>
              <w:jc w:val="center"/>
              <w:rPr>
                <w:rFonts w:ascii="Times New Roman" w:hAnsi="Times New Roman"/>
                <w:sz w:val="26"/>
                <w:szCs w:val="26"/>
              </w:rPr>
            </w:pPr>
            <w:r w:rsidRPr="00F8778F">
              <w:rPr>
                <w:rFonts w:ascii="Times New Roman" w:hAnsi="Times New Roman"/>
                <w:sz w:val="26"/>
                <w:szCs w:val="26"/>
              </w:rPr>
              <w:t>Bước 9: Đánh giá và Rà soát định kỳ</w:t>
            </w:r>
          </w:p>
        </w:tc>
        <w:tc>
          <w:tcPr>
            <w:tcW w:w="1559" w:type="dxa"/>
            <w:vAlign w:val="center"/>
          </w:tcPr>
          <w:p w14:paraId="5F94EB5A" w14:textId="3DE98F84" w:rsidR="002321E1" w:rsidRDefault="00F8778F" w:rsidP="00A91F22">
            <w:pPr>
              <w:spacing w:after="120"/>
              <w:jc w:val="center"/>
              <w:rPr>
                <w:rFonts w:ascii="Times New Roman" w:eastAsia="Calibri" w:hAnsi="Times New Roman"/>
                <w:sz w:val="26"/>
                <w:szCs w:val="26"/>
              </w:rPr>
            </w:pPr>
            <w:r>
              <w:rPr>
                <w:rFonts w:ascii="Times New Roman" w:eastAsia="Calibri" w:hAnsi="Times New Roman"/>
                <w:sz w:val="26"/>
                <w:szCs w:val="26"/>
              </w:rPr>
              <w:t>KHTH</w:t>
            </w:r>
          </w:p>
        </w:tc>
        <w:tc>
          <w:tcPr>
            <w:tcW w:w="6622" w:type="dxa"/>
            <w:vAlign w:val="center"/>
          </w:tcPr>
          <w:p w14:paraId="1CC53BB5"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Phòng KHTH quản lý vòng đời của tất cả các PĐĐT.</w:t>
            </w:r>
          </w:p>
          <w:p w14:paraId="55905184" w14:textId="77777777" w:rsidR="00F8778F" w:rsidRPr="00F8778F"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Định kỳ (2-3 năm/lần) hoặc khi có các thay đổi lớn về y học, hệ thống PĐĐT sẽ được rà soát lại toàn bộ.</w:t>
            </w:r>
          </w:p>
          <w:p w14:paraId="6F15CFFB" w14:textId="1C9408BA" w:rsidR="002321E1" w:rsidRPr="002321E1" w:rsidRDefault="00F8778F" w:rsidP="00F8778F">
            <w:pPr>
              <w:spacing w:after="0"/>
              <w:ind w:firstLine="177"/>
              <w:jc w:val="both"/>
              <w:rPr>
                <w:rFonts w:ascii="Times New Roman" w:hAnsi="Times New Roman"/>
                <w:bCs/>
                <w:sz w:val="26"/>
                <w:szCs w:val="26"/>
              </w:rPr>
            </w:pPr>
            <w:r w:rsidRPr="00F8778F">
              <w:rPr>
                <w:rFonts w:ascii="Times New Roman" w:hAnsi="Times New Roman"/>
                <w:bCs/>
                <w:sz w:val="26"/>
                <w:szCs w:val="26"/>
              </w:rPr>
              <w:t>Các phác đồ không còn phù hợp sẽ được đưa vào quy trình cập nhật hoặc thay thế, bắt đầu lại chu trình.</w:t>
            </w:r>
            <w:r w:rsidR="002321E1" w:rsidRPr="002321E1">
              <w:rPr>
                <w:rFonts w:ascii="Times New Roman" w:hAnsi="Times New Roman"/>
                <w:bCs/>
                <w:sz w:val="26"/>
                <w:szCs w:val="26"/>
              </w:rPr>
              <w:t>Gửi email cảm ơn kèm theo link tải tài liệu (bài trình bày) cho những người đã tham dự.</w:t>
            </w:r>
          </w:p>
        </w:tc>
      </w:tr>
    </w:tbl>
    <w:p w14:paraId="5F629BE5" w14:textId="18E244CB" w:rsidR="00487DE8" w:rsidRDefault="00487DE8" w:rsidP="00487DE8">
      <w:pPr>
        <w:spacing w:after="0"/>
        <w:ind w:firstLine="709"/>
        <w:jc w:val="center"/>
        <w:rPr>
          <w:rFonts w:ascii="Times New Roman" w:hAnsi="Times New Roman" w:cs="Times New Roman"/>
          <w:sz w:val="26"/>
          <w:szCs w:val="26"/>
        </w:rPr>
      </w:pPr>
      <w:r w:rsidRPr="00487DE8">
        <w:rPr>
          <w:rFonts w:ascii="Times New Roman" w:hAnsi="Times New Roman" w:cs="Times New Roman"/>
          <w:sz w:val="26"/>
          <w:szCs w:val="26"/>
        </w:rPr>
        <w:lastRenderedPageBreak/>
        <w:t>PHỤ LỤC: CẤU TRÚC MẪU CỦA MỘT PHÁC ĐỒ ĐIỀU TRỊ</w:t>
      </w:r>
    </w:p>
    <w:p w14:paraId="58E1114F" w14:textId="77777777" w:rsidR="00487DE8" w:rsidRPr="00487DE8" w:rsidRDefault="00487DE8" w:rsidP="00487DE8">
      <w:pPr>
        <w:spacing w:after="0"/>
        <w:ind w:firstLine="709"/>
        <w:jc w:val="center"/>
        <w:rPr>
          <w:rFonts w:ascii="Times New Roman" w:hAnsi="Times New Roman" w:cs="Times New Roman"/>
          <w:sz w:val="26"/>
          <w:szCs w:val="26"/>
        </w:rPr>
      </w:pPr>
    </w:p>
    <w:p w14:paraId="65037ADB" w14:textId="3A45CD0C" w:rsidR="00487DE8" w:rsidRPr="00487DE8" w:rsidRDefault="00487DE8" w:rsidP="00487DE8">
      <w:pPr>
        <w:spacing w:after="0"/>
        <w:ind w:firstLine="709"/>
        <w:jc w:val="center"/>
        <w:rPr>
          <w:rFonts w:ascii="Times New Roman" w:hAnsi="Times New Roman" w:cs="Times New Roman"/>
          <w:b/>
          <w:bCs/>
          <w:sz w:val="26"/>
          <w:szCs w:val="26"/>
        </w:rPr>
      </w:pPr>
      <w:r w:rsidRPr="00487DE8">
        <w:rPr>
          <w:rFonts w:ascii="Times New Roman" w:hAnsi="Times New Roman" w:cs="Times New Roman"/>
          <w:b/>
          <w:bCs/>
          <w:sz w:val="26"/>
          <w:szCs w:val="26"/>
        </w:rPr>
        <w:t xml:space="preserve">PHÁC ĐỒ CHẨN ĐOÁN VÀ ĐIỀU TRỊ: </w:t>
      </w:r>
      <w:r w:rsidRPr="00487DE8">
        <w:rPr>
          <w:rFonts w:ascii="Times New Roman" w:hAnsi="Times New Roman" w:cs="Times New Roman"/>
          <w:b/>
          <w:bCs/>
          <w:sz w:val="26"/>
          <w:szCs w:val="26"/>
        </w:rPr>
        <w:t xml:space="preserve">BỆNH VIỆN ĐA KHOA KHU VỰC BẮC QUẢNG TRỊ </w:t>
      </w:r>
    </w:p>
    <w:p w14:paraId="518D0C28"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Mã hiệu: PĐĐT-[Tên khoa]-[Số thứ tự] | Phiên bản: 1.0 | Ngày ban hành: ...</w:t>
      </w:r>
    </w:p>
    <w:p w14:paraId="35C71A41" w14:textId="77777777" w:rsidR="00487DE8" w:rsidRDefault="00487DE8" w:rsidP="00487DE8">
      <w:pPr>
        <w:spacing w:after="0"/>
        <w:ind w:firstLine="709"/>
        <w:jc w:val="both"/>
        <w:rPr>
          <w:rFonts w:ascii="Times New Roman" w:hAnsi="Times New Roman" w:cs="Times New Roman"/>
          <w:sz w:val="26"/>
          <w:szCs w:val="26"/>
        </w:rPr>
      </w:pPr>
    </w:p>
    <w:p w14:paraId="2B184A40" w14:textId="3B75EB0D"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I. ĐỊNH NGHĨA VÀ DỊCH TỄ HỌC</w:t>
      </w:r>
    </w:p>
    <w:p w14:paraId="5DE54C6B"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II. NGUYÊN NHÂN VÀ YẾU TỐ NGUY CƠ</w:t>
      </w:r>
    </w:p>
    <w:p w14:paraId="40B1968A"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III. CHẨN ĐOÁN</w:t>
      </w:r>
    </w:p>
    <w:p w14:paraId="77E8F4A9"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Lâm sàng: (Triệu chứng cơ năng, thực thể)</w:t>
      </w:r>
    </w:p>
    <w:p w14:paraId="3EFEF101"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Cận lâm sàng:</w:t>
      </w:r>
    </w:p>
    <w:p w14:paraId="557085B5"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Xét nghiệm (máu, sinh hóa, vi sinh...)</w:t>
      </w:r>
    </w:p>
    <w:p w14:paraId="58C6627E"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Chẩn đoán hình ảnh (X-quang, CT, MRI, siêu âm...)</w:t>
      </w:r>
    </w:p>
    <w:p w14:paraId="4DBD71A3"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Thăm dò chức năng, giải phẫu bệnh...</w:t>
      </w:r>
    </w:p>
    <w:p w14:paraId="77BD4956"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Chẩn đoán xác định: (Tiêu chuẩn chẩn đoán)</w:t>
      </w:r>
    </w:p>
    <w:p w14:paraId="33B36141"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Chẩn đoán phân biệt</w:t>
      </w:r>
    </w:p>
    <w:p w14:paraId="03A6BB95"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Chẩn đoán mức độ nặng (nếu có)</w:t>
      </w:r>
    </w:p>
    <w:p w14:paraId="2E76E2C0"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IV. ĐIỀU TRỊ</w:t>
      </w:r>
    </w:p>
    <w:p w14:paraId="21E5AC41"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Nguyên tắc chung</w:t>
      </w:r>
    </w:p>
    <w:p w14:paraId="030DFE8D"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Điều trị cụ thể:</w:t>
      </w:r>
    </w:p>
    <w:p w14:paraId="4AEB1EE5" w14:textId="1FE3CE6C"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Lựa chọn điều trị hàng đầu.</w:t>
      </w:r>
    </w:p>
    <w:p w14:paraId="390D0F76" w14:textId="2A9A8370"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Lựa chọn điều trị hàng hai.</w:t>
      </w:r>
    </w:p>
    <w:p w14:paraId="4516EB4C"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Điều trị theo từng thể bệnh/mức độ nặng.</w:t>
      </w:r>
    </w:p>
    <w:p w14:paraId="1B4D9CC0"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Liều lượng, đường dùng, thời gian điều trị.</w:t>
      </w:r>
    </w:p>
    <w:p w14:paraId="0B8338EF"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Điều trị không dùng thuốc (dinh dưỡng, phục hồi chức năng...).</w:t>
      </w:r>
    </w:p>
    <w:p w14:paraId="442BF1BB"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Điều trị phẫu thuật/can thiệp (nếu có).</w:t>
      </w:r>
    </w:p>
    <w:p w14:paraId="64E562A8"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V. THEO DÕI VÀ TÁI KHÁM</w:t>
      </w:r>
    </w:p>
    <w:p w14:paraId="4F06AB0F"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Các chỉ số cần theo dõi trong quá trình điều trị.</w:t>
      </w:r>
    </w:p>
    <w:p w14:paraId="4DDD4B18"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Tiêu chuẩn ra viện.</w:t>
      </w:r>
    </w:p>
    <w:p w14:paraId="3D96C018"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Lịch tái khám và các xét nghiệm cần làm khi tái khám.</w:t>
      </w:r>
    </w:p>
    <w:p w14:paraId="5B543388"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VI. TIÊN LƯỢNG VÀ PHÒNG BỆNH</w:t>
      </w:r>
    </w:p>
    <w:p w14:paraId="4849C7F1" w14:textId="77777777" w:rsidR="00487DE8"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VII. TÀI LIỆU THAM KHẢO</w:t>
      </w:r>
    </w:p>
    <w:p w14:paraId="3368F6AD" w14:textId="518832BB" w:rsidR="00654692" w:rsidRPr="00487DE8" w:rsidRDefault="00487DE8" w:rsidP="00487DE8">
      <w:pPr>
        <w:spacing w:after="0"/>
        <w:ind w:firstLine="709"/>
        <w:jc w:val="both"/>
        <w:rPr>
          <w:rFonts w:ascii="Times New Roman" w:hAnsi="Times New Roman" w:cs="Times New Roman"/>
          <w:sz w:val="26"/>
          <w:szCs w:val="26"/>
        </w:rPr>
      </w:pPr>
      <w:r w:rsidRPr="00487DE8">
        <w:rPr>
          <w:rFonts w:ascii="Times New Roman" w:hAnsi="Times New Roman" w:cs="Times New Roman"/>
          <w:sz w:val="26"/>
          <w:szCs w:val="26"/>
        </w:rPr>
        <w:t>(Liệt kê các tài liệu nguồn đã sử dụng để xây dựng phác đồ)</w:t>
      </w:r>
    </w:p>
    <w:p w14:paraId="772587A9" w14:textId="77777777" w:rsidR="007A14C4" w:rsidRPr="00487DE8" w:rsidRDefault="007A14C4" w:rsidP="00487DE8">
      <w:pPr>
        <w:spacing w:after="0"/>
        <w:ind w:firstLine="709"/>
        <w:jc w:val="both"/>
        <w:rPr>
          <w:rFonts w:ascii="Times New Roman" w:hAnsi="Times New Roman" w:cs="Times New Roman"/>
          <w:sz w:val="26"/>
          <w:szCs w:val="26"/>
        </w:rPr>
      </w:pPr>
    </w:p>
    <w:sectPr w:rsidR="007A14C4" w:rsidRPr="00487D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6062" w14:textId="77777777" w:rsidR="00245A32" w:rsidRDefault="00245A32" w:rsidP="00F62C80">
      <w:pPr>
        <w:spacing w:after="0" w:line="240" w:lineRule="auto"/>
      </w:pPr>
      <w:r>
        <w:separator/>
      </w:r>
    </w:p>
  </w:endnote>
  <w:endnote w:type="continuationSeparator" w:id="0">
    <w:p w14:paraId="08FB56B9" w14:textId="77777777" w:rsidR="00245A32" w:rsidRDefault="00245A32"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B34BA" w14:textId="77777777" w:rsidR="00245A32" w:rsidRDefault="00245A32" w:rsidP="00F62C80">
      <w:pPr>
        <w:spacing w:after="0" w:line="240" w:lineRule="auto"/>
      </w:pPr>
      <w:r>
        <w:separator/>
      </w:r>
    </w:p>
  </w:footnote>
  <w:footnote w:type="continuationSeparator" w:id="0">
    <w:p w14:paraId="56F7909C" w14:textId="77777777" w:rsidR="00245A32" w:rsidRDefault="00245A32"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62EB4"/>
    <w:rsid w:val="00090641"/>
    <w:rsid w:val="000C3BB5"/>
    <w:rsid w:val="0010108C"/>
    <w:rsid w:val="00105166"/>
    <w:rsid w:val="001204C8"/>
    <w:rsid w:val="00150185"/>
    <w:rsid w:val="002046E1"/>
    <w:rsid w:val="0020499C"/>
    <w:rsid w:val="002321E1"/>
    <w:rsid w:val="00245A32"/>
    <w:rsid w:val="002847BD"/>
    <w:rsid w:val="002C78CE"/>
    <w:rsid w:val="003262F1"/>
    <w:rsid w:val="003568E2"/>
    <w:rsid w:val="00374F07"/>
    <w:rsid w:val="00385AD8"/>
    <w:rsid w:val="003943D8"/>
    <w:rsid w:val="003C446F"/>
    <w:rsid w:val="004163FC"/>
    <w:rsid w:val="004729D6"/>
    <w:rsid w:val="00473333"/>
    <w:rsid w:val="00487DE8"/>
    <w:rsid w:val="004B5E08"/>
    <w:rsid w:val="004C1BC3"/>
    <w:rsid w:val="00514630"/>
    <w:rsid w:val="00523115"/>
    <w:rsid w:val="00541CAE"/>
    <w:rsid w:val="0056121D"/>
    <w:rsid w:val="005934AB"/>
    <w:rsid w:val="005A085A"/>
    <w:rsid w:val="005D6F76"/>
    <w:rsid w:val="005E5155"/>
    <w:rsid w:val="00610152"/>
    <w:rsid w:val="00633FE3"/>
    <w:rsid w:val="006405B6"/>
    <w:rsid w:val="006463E9"/>
    <w:rsid w:val="00654692"/>
    <w:rsid w:val="00660D55"/>
    <w:rsid w:val="006707F7"/>
    <w:rsid w:val="00677EE1"/>
    <w:rsid w:val="006827D5"/>
    <w:rsid w:val="006A572A"/>
    <w:rsid w:val="006C3F29"/>
    <w:rsid w:val="006E3701"/>
    <w:rsid w:val="00755A8B"/>
    <w:rsid w:val="00795A20"/>
    <w:rsid w:val="007A14C4"/>
    <w:rsid w:val="007A4ACA"/>
    <w:rsid w:val="007B5400"/>
    <w:rsid w:val="00820F1F"/>
    <w:rsid w:val="0089002D"/>
    <w:rsid w:val="008C6001"/>
    <w:rsid w:val="00933A20"/>
    <w:rsid w:val="0094367F"/>
    <w:rsid w:val="00951C27"/>
    <w:rsid w:val="009866A5"/>
    <w:rsid w:val="009D6EF3"/>
    <w:rsid w:val="00A3520C"/>
    <w:rsid w:val="00A365DE"/>
    <w:rsid w:val="00A6144E"/>
    <w:rsid w:val="00A65D1E"/>
    <w:rsid w:val="00A760B4"/>
    <w:rsid w:val="00A91F22"/>
    <w:rsid w:val="00AA1D6B"/>
    <w:rsid w:val="00AE6690"/>
    <w:rsid w:val="00AF0F01"/>
    <w:rsid w:val="00B0124B"/>
    <w:rsid w:val="00B61F99"/>
    <w:rsid w:val="00B8613E"/>
    <w:rsid w:val="00BF17CF"/>
    <w:rsid w:val="00C23225"/>
    <w:rsid w:val="00C23A00"/>
    <w:rsid w:val="00C30E88"/>
    <w:rsid w:val="00C57E2D"/>
    <w:rsid w:val="00C72011"/>
    <w:rsid w:val="00CA7270"/>
    <w:rsid w:val="00CC4BD7"/>
    <w:rsid w:val="00CE69D9"/>
    <w:rsid w:val="00CF4CBE"/>
    <w:rsid w:val="00D01332"/>
    <w:rsid w:val="00D17B41"/>
    <w:rsid w:val="00D33596"/>
    <w:rsid w:val="00D56FB5"/>
    <w:rsid w:val="00D84B35"/>
    <w:rsid w:val="00DA0D87"/>
    <w:rsid w:val="00DC0B70"/>
    <w:rsid w:val="00DD253D"/>
    <w:rsid w:val="00E00B5E"/>
    <w:rsid w:val="00E4793C"/>
    <w:rsid w:val="00E50419"/>
    <w:rsid w:val="00E54D44"/>
    <w:rsid w:val="00E54DC2"/>
    <w:rsid w:val="00E7472C"/>
    <w:rsid w:val="00E96515"/>
    <w:rsid w:val="00EE5B7D"/>
    <w:rsid w:val="00F061C7"/>
    <w:rsid w:val="00F24A23"/>
    <w:rsid w:val="00F27904"/>
    <w:rsid w:val="00F62C80"/>
    <w:rsid w:val="00F77C74"/>
    <w:rsid w:val="00F8778F"/>
    <w:rsid w:val="00FB1E37"/>
    <w:rsid w:val="00FC3035"/>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2025-07-17T01:56:00Z</dcterms:created>
  <dcterms:modified xsi:type="dcterms:W3CDTF">2025-07-17T01:56:00Z</dcterms:modified>
</cp:coreProperties>
</file>